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1E" w:rsidRDefault="00DB611E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გრიპისმაგვარი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bookmarkStart w:id="0" w:name="_GoBack"/>
      <w:bookmarkEnd w:id="0"/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დაავადებებისა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(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28"/>
        </w:rPr>
        <w:t>ILI)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და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მძიმე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მწვავე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რესპირატორული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ინფექციები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28"/>
        </w:rPr>
        <w:t xml:space="preserve">(SARI) 2016-2017;2017-18; 2018-19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წლების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სეზონი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საყრდენი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ბაზების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მიხედვით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***. 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28"/>
        </w:rPr>
        <w:t>(</w:t>
      </w:r>
      <w:proofErr w:type="gramStart"/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სვეტებით</w:t>
      </w:r>
      <w:proofErr w:type="gramEnd"/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მოცემულია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ლაბორატორიულად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დადასტურებული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შემთხვევები</w:t>
      </w:r>
      <w: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8"/>
          <w:szCs w:val="28"/>
          <w:lang w:val="ka-GE"/>
        </w:rPr>
        <w:t>*)</w:t>
      </w:r>
    </w:p>
    <w:p w:rsidR="00DB611E" w:rsidRDefault="00DB611E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>
        <w:rPr>
          <w:rFonts w:ascii="Sylfaen" w:eastAsia="Times New Roman" w:hAnsi="Sylfaen" w:cs="Sylfaen"/>
          <w:b/>
          <w:noProof/>
          <w:color w:val="000000"/>
          <w:lang w:val="en-US"/>
        </w:rPr>
        <w:drawing>
          <wp:inline distT="0" distB="0" distL="0" distR="0" wp14:anchorId="65CFD892">
            <wp:extent cx="9542780" cy="2761615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2780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611E" w:rsidRDefault="00DB611E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>
        <w:rPr>
          <w:rFonts w:ascii="Sylfaen" w:eastAsia="Times New Roman" w:hAnsi="Sylfaen" w:cs="Sylfaen"/>
          <w:b/>
          <w:noProof/>
          <w:color w:val="000000"/>
          <w:lang w:val="en-US"/>
        </w:rPr>
        <w:lastRenderedPageBreak/>
        <w:drawing>
          <wp:inline distT="0" distB="0" distL="0" distR="0" wp14:anchorId="5C102E78">
            <wp:extent cx="9705382" cy="3038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352" cy="3041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11A8" w:rsidRDefault="000D11A8" w:rsidP="000D11A8">
      <w:pPr>
        <w:pStyle w:val="NormalWeb"/>
        <w:spacing w:before="0" w:beforeAutospacing="0" w:after="0" w:afterAutospacing="0"/>
        <w:jc w:val="center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გრიპისმაგვარი დაავადებებისა (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ILI)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 xml:space="preserve">ინციდენტობა** 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>2017-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lang w:val="ka-GE"/>
        </w:rPr>
        <w:t>20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>18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lang w:val="ka-GE"/>
        </w:rPr>
        <w:t>, 2018-2019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წლების სეზონი, (საყრდენი ბაზების მიხედვით***)</w:t>
      </w:r>
    </w:p>
    <w:tbl>
      <w:tblPr>
        <w:tblW w:w="151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39"/>
        <w:gridCol w:w="442"/>
        <w:gridCol w:w="352"/>
        <w:gridCol w:w="443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351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36"/>
        <w:gridCol w:w="346"/>
        <w:gridCol w:w="346"/>
        <w:gridCol w:w="436"/>
        <w:gridCol w:w="346"/>
        <w:gridCol w:w="346"/>
        <w:gridCol w:w="346"/>
        <w:gridCol w:w="346"/>
      </w:tblGrid>
      <w:tr w:rsidR="000D11A8" w:rsidRPr="000D11A8" w:rsidTr="000D11A8">
        <w:trPr>
          <w:trHeight w:val="133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წლის</w:t>
            </w:r>
          </w:p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კალენდარული</w:t>
            </w:r>
          </w:p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40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41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43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47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49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52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3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9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12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13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15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16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17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19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color w:val="000000" w:themeColor="text1"/>
                <w:kern w:val="24"/>
                <w:sz w:val="20"/>
                <w:szCs w:val="20"/>
                <w:lang w:val="en-US"/>
              </w:rPr>
              <w:t>20</w:t>
            </w:r>
          </w:p>
        </w:tc>
      </w:tr>
      <w:tr w:rsidR="000D11A8" w:rsidRPr="000D11A8" w:rsidTr="000D11A8">
        <w:trPr>
          <w:trHeight w:val="703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2017-</w:t>
            </w: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</w:t>
            </w: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</w:t>
            </w: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 xml:space="preserve"> წ.წ.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123,3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82,1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167,5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176,1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152,1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195,9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123,6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131,4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119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103,3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55,1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102,7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79.5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94,4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114,4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128,8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115,9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118,3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89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106,2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127,8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100,5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116,4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96,4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98,2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108,1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99,6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99,2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85,8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62,6</w:t>
            </w:r>
          </w:p>
        </w:tc>
      </w:tr>
      <w:tr w:rsidR="000D11A8" w:rsidRPr="000D11A8" w:rsidTr="000D11A8">
        <w:trPr>
          <w:trHeight w:val="796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2018-2019 წ.წ.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62.4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73.4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175.4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122,4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134,8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195,5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167,5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122,2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119,1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171,8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185,2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220,9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276,7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256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253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251,1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249,3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211,6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186,6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178,2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100,5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131,6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111,9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93,5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</w:tbl>
    <w:p w:rsidR="000D11A8" w:rsidRDefault="000D11A8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</w:p>
    <w:p w:rsidR="000D11A8" w:rsidRDefault="000D11A8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</w:p>
    <w:p w:rsidR="000D11A8" w:rsidRDefault="000D11A8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</w:p>
    <w:p w:rsidR="000D11A8" w:rsidRDefault="000D11A8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 w:rsidRPr="000D11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0F225" wp14:editId="02F6507C">
                <wp:simplePos x="0" y="0"/>
                <wp:positionH relativeFrom="column">
                  <wp:posOffset>-348615</wp:posOffset>
                </wp:positionH>
                <wp:positionV relativeFrom="paragraph">
                  <wp:posOffset>13970</wp:posOffset>
                </wp:positionV>
                <wp:extent cx="10925175" cy="695325"/>
                <wp:effectExtent l="0" t="0" r="0" b="9525"/>
                <wp:wrapNone/>
                <wp:docPr id="52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5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392" w:rsidRDefault="00543392" w:rsidP="000D11A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მძიმე მწვავე რესპირატორული ინფექციების (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SARI) 2017-18; 2018-19 </w:t>
                            </w: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წლების სეზონის % წილი საერთო ჰოსპიტალიზაციაში</w:t>
                            </w:r>
                          </w:p>
                          <w:p w:rsidR="00543392" w:rsidRDefault="00543392" w:rsidP="000D11A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(საყრდენი ბაზების მიხედვით***)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7.45pt;margin-top:1.1pt;width:860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" filled="f" stroked="f">
                <v:textbox>
                  <w:txbxContent>
                    <w:p w:rsidR="00543392" w:rsidRDefault="00543392" w:rsidP="000D11A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მძიმე მწვავე რესპირატორული ინფექციების (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SARI) 2017-18; 2018-19 </w:t>
                      </w: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წლების სეზონის % წილი საერთო ჰოსპიტალიზაციაში</w:t>
                      </w:r>
                    </w:p>
                    <w:p w:rsidR="00543392" w:rsidRDefault="00543392" w:rsidP="000D11A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 xml:space="preserve"> (საყრდენი ბაზების მიხედვით***)</w:t>
                      </w:r>
                    </w:p>
                  </w:txbxContent>
                </v:textbox>
              </v:rect>
            </w:pict>
          </mc:Fallback>
        </mc:AlternateContent>
      </w:r>
    </w:p>
    <w:p w:rsidR="000D11A8" w:rsidRDefault="000D11A8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</w:p>
    <w:tbl>
      <w:tblPr>
        <w:tblW w:w="142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0"/>
        <w:gridCol w:w="391"/>
        <w:gridCol w:w="391"/>
        <w:gridCol w:w="392"/>
        <w:gridCol w:w="39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66"/>
        <w:gridCol w:w="390"/>
        <w:gridCol w:w="390"/>
        <w:gridCol w:w="390"/>
        <w:gridCol w:w="390"/>
        <w:gridCol w:w="371"/>
        <w:gridCol w:w="366"/>
        <w:gridCol w:w="371"/>
        <w:gridCol w:w="390"/>
      </w:tblGrid>
      <w:tr w:rsidR="000D11A8" w:rsidRPr="000D11A8" w:rsidTr="000D11A8">
        <w:trPr>
          <w:trHeight w:val="1203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წლის</w:t>
            </w:r>
          </w:p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კალენდარული</w:t>
            </w:r>
          </w:p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40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41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42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43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44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45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46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47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48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49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50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51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3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6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9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10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11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13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14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15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16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17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18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19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color w:val="000000" w:themeColor="text1"/>
                <w:kern w:val="24"/>
                <w:sz w:val="20"/>
                <w:szCs w:val="20"/>
                <w:lang w:val="en-US"/>
              </w:rPr>
              <w:t>20</w:t>
            </w:r>
          </w:p>
        </w:tc>
      </w:tr>
      <w:tr w:rsidR="000D11A8" w:rsidRPr="000D11A8" w:rsidTr="000D11A8">
        <w:trPr>
          <w:trHeight w:val="504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2017-</w:t>
            </w: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</w:t>
            </w: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</w:t>
            </w: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 xml:space="preserve"> წ.წ.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9,9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12,1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16,3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14,4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13,8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13,5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13,6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15,9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17,9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19,6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19,9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18,3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15.4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15,9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18,7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16,8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17,1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17,5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16,1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18,3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14,</w:t>
            </w: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14,9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11,4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9,3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9,2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11,5</w:t>
            </w:r>
          </w:p>
        </w:tc>
      </w:tr>
      <w:tr w:rsidR="000D11A8" w:rsidRPr="000D11A8" w:rsidTr="000D11A8">
        <w:trPr>
          <w:trHeight w:val="558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2018-2019 წ.წ.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15.8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19.8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14.9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12,8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16,9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17,9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23,2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20,2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23,4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26,6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41,6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33,1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31,6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30,9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26,8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21.5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17,6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22,9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19,2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16,3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</w:tbl>
    <w:p w:rsidR="000D11A8" w:rsidRDefault="000D11A8" w:rsidP="000D11A8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*     </w:t>
      </w:r>
      <w:proofErr w:type="gramStart"/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ლაბორატორიულად</w:t>
      </w:r>
      <w:proofErr w:type="gramEnd"/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 xml:space="preserve"> დადასტურებული შემთხვევები მოცემულია აბსოლიტურ რიცხვებში </w:t>
      </w:r>
    </w:p>
    <w:p w:rsidR="000D11A8" w:rsidRDefault="000D11A8" w:rsidP="000D11A8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**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   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ინციდენტობა - შემთხვევების რაოდენობა 100000 მოსახლეზე</w:t>
      </w:r>
    </w:p>
    <w:p w:rsidR="000D11A8" w:rsidRDefault="000D11A8" w:rsidP="000D11A8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***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 xml:space="preserve">საყდენი ბაზები - საქართველოს სხვადასხვა ქალაქებში არსებული კლინიკები და პოლიკლინიკები სადაც ხორციელდება სტატისტიკური მონაცემების შეგროვება და 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  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ვირუსოლოგიური მონიტორინგი</w:t>
      </w:r>
    </w:p>
    <w:p w:rsidR="00DB611E" w:rsidRPr="009547E9" w:rsidRDefault="000D11A8" w:rsidP="000D11A8">
      <w:pP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en-US"/>
        </w:rPr>
      </w:pP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40"/>
          <w:szCs w:val="40"/>
        </w:rPr>
        <w:br/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საყრდენი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ბაზებით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ეპიდზედამხედველობის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ფარგლებში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დადგენილი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br/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მოცირკულირე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რესპირატორული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პათოგენები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,</w:t>
      </w:r>
      <w:r w:rsidRPr="009547E9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გრიპის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2018-2019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.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. 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სეზონი</w:t>
      </w:r>
    </w:p>
    <w:p w:rsidR="000D11A8" w:rsidRDefault="000D11A8" w:rsidP="000D11A8">
      <w:pP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36"/>
          <w:szCs w:val="36"/>
          <w:lang w:val="en-US"/>
        </w:rPr>
      </w:pPr>
    </w:p>
    <w:tbl>
      <w:tblPr>
        <w:tblW w:w="154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40"/>
        <w:gridCol w:w="500"/>
        <w:gridCol w:w="500"/>
        <w:gridCol w:w="540"/>
        <w:gridCol w:w="540"/>
        <w:gridCol w:w="540"/>
        <w:gridCol w:w="480"/>
        <w:gridCol w:w="480"/>
        <w:gridCol w:w="500"/>
        <w:gridCol w:w="500"/>
        <w:gridCol w:w="460"/>
        <w:gridCol w:w="500"/>
        <w:gridCol w:w="500"/>
        <w:gridCol w:w="500"/>
        <w:gridCol w:w="340"/>
        <w:gridCol w:w="360"/>
        <w:gridCol w:w="400"/>
        <w:gridCol w:w="420"/>
        <w:gridCol w:w="380"/>
        <w:gridCol w:w="420"/>
        <w:gridCol w:w="420"/>
        <w:gridCol w:w="400"/>
        <w:gridCol w:w="400"/>
        <w:gridCol w:w="500"/>
        <w:gridCol w:w="500"/>
        <w:gridCol w:w="500"/>
        <w:gridCol w:w="500"/>
        <w:gridCol w:w="500"/>
        <w:gridCol w:w="500"/>
      </w:tblGrid>
      <w:tr w:rsidR="000D11A8" w:rsidRPr="000D11A8" w:rsidTr="000D11A8">
        <w:trPr>
          <w:trHeight w:val="919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წლის კალენდარული კვირა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40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41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42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43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44</w:t>
            </w: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45</w:t>
            </w: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46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47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48</w:t>
            </w:r>
          </w:p>
        </w:tc>
        <w:tc>
          <w:tcPr>
            <w:tcW w:w="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49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50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51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52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3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4</w:t>
            </w:r>
          </w:p>
        </w:tc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5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6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9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10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11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12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19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20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21</w:t>
            </w:r>
          </w:p>
        </w:tc>
      </w:tr>
      <w:tr w:rsidR="000D11A8" w:rsidRPr="000D11A8" w:rsidTr="000D11A8">
        <w:trPr>
          <w:trHeight w:val="507"/>
        </w:trPr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</w:t>
            </w:r>
          </w:p>
        </w:tc>
        <w:tc>
          <w:tcPr>
            <w:tcW w:w="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11A8" w:rsidRPr="000D11A8" w:rsidTr="000D11A8">
        <w:trPr>
          <w:trHeight w:val="551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A/</w:t>
            </w: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H1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11A8" w:rsidRPr="000D11A8" w:rsidTr="000D11A8">
        <w:trPr>
          <w:trHeight w:val="919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lastRenderedPageBreak/>
              <w:t>Influenza A/H3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11A8" w:rsidRPr="000D11A8" w:rsidTr="000D11A8">
        <w:trPr>
          <w:trHeight w:val="922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I</w:t>
            </w:r>
            <w:r w:rsidRPr="000D11A8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nfluenza B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11A8" w:rsidRPr="000D11A8" w:rsidTr="000D11A8">
        <w:trPr>
          <w:trHeight w:val="551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Rhinovirus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11A8" w:rsidRPr="000D11A8" w:rsidTr="000D11A8">
        <w:trPr>
          <w:trHeight w:val="823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Coronavirus NL63</w:t>
            </w: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/</w:t>
            </w:r>
            <w:r w:rsidRPr="000D11A8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229E </w:t>
            </w:r>
            <w:r w:rsidRPr="000D11A8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/</w:t>
            </w:r>
            <w:r w:rsidRPr="000D11A8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OC43/HKU1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11A8" w:rsidRPr="000D11A8" w:rsidTr="000D11A8">
        <w:trPr>
          <w:trHeight w:val="717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ind w:firstLine="17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Parainfluenza 1, 2, 3, 4,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11A8" w:rsidRPr="000D11A8" w:rsidTr="000D11A8">
        <w:trPr>
          <w:trHeight w:val="612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Human metapneumovirus A/B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11A8" w:rsidRPr="000D11A8" w:rsidTr="000D11A8">
        <w:trPr>
          <w:trHeight w:val="641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Bocavirus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11A8" w:rsidRPr="000D11A8" w:rsidTr="000D11A8">
        <w:trPr>
          <w:trHeight w:val="514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Respiratory syncytial virus A/B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11A8" w:rsidRPr="000D11A8" w:rsidTr="000D11A8">
        <w:trPr>
          <w:trHeight w:val="462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Adenovirus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D11A8" w:rsidRPr="000D11A8" w:rsidTr="000D11A8">
        <w:trPr>
          <w:trHeight w:val="462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0D11A8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Entero</w:t>
            </w:r>
            <w:proofErr w:type="spellEnd"/>
            <w:r w:rsidRPr="000D11A8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 xml:space="preserve"> virus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D11A8">
              <w:rPr>
                <w:rFonts w:eastAsia="Sylfaen" w:hAnsi="Sylfaen" w:cs="Times New Roman"/>
                <w:b/>
                <w:bCs/>
                <w:color w:val="000000"/>
                <w:kern w:val="24"/>
                <w:sz w:val="20"/>
                <w:szCs w:val="20"/>
                <w:lang w:val="ka-GE"/>
              </w:rPr>
              <w:t>√</w:t>
            </w:r>
          </w:p>
        </w:tc>
        <w:tc>
          <w:tcPr>
            <w:tcW w:w="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1A8" w:rsidRPr="000D11A8" w:rsidRDefault="000D11A8" w:rsidP="000D1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0D11A8" w:rsidRDefault="000D11A8" w:rsidP="000D11A8">
      <w:pPr>
        <w:rPr>
          <w:rFonts w:ascii="Sylfaen" w:eastAsia="Times New Roman" w:hAnsi="Sylfaen" w:cs="Sylfaen"/>
          <w:b/>
          <w:color w:val="000000"/>
          <w:lang w:val="en-US" w:eastAsia="ru-RU"/>
        </w:rPr>
      </w:pPr>
    </w:p>
    <w:p w:rsidR="000D11A8" w:rsidRDefault="00671508" w:rsidP="000D11A8">
      <w:pPr>
        <w:rPr>
          <w:rFonts w:ascii="Sylfaen" w:eastAsia="Times New Roman" w:hAnsi="Sylfaen" w:cs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მე-11 კალენდარული კვირის მანძილზე </w:t>
      </w:r>
      <w:r>
        <w:rPr>
          <w:rFonts w:ascii="Sylfaen" w:eastAsia="Times New Roman" w:hAnsi="Sylfaen" w:cs="Sylfaen"/>
          <w:b/>
          <w:color w:val="000000"/>
          <w:lang w:val="en-US" w:eastAsia="ru-RU"/>
        </w:rPr>
        <w:t xml:space="preserve">ILI </w:t>
      </w: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და </w:t>
      </w:r>
      <w:r>
        <w:rPr>
          <w:rFonts w:ascii="Sylfaen" w:eastAsia="Times New Roman" w:hAnsi="Sylfaen" w:cs="Sylfaen"/>
          <w:b/>
          <w:color w:val="000000"/>
          <w:lang w:val="en-US" w:eastAsia="ru-RU"/>
        </w:rPr>
        <w:t>SARI</w:t>
      </w: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მაჩვენებლები სტაბილურია საყრდენი ბაზების ფარგლებში. ამასთან ცირკულირებს </w:t>
      </w:r>
      <w:r>
        <w:rPr>
          <w:rFonts w:ascii="Sylfaen" w:eastAsia="Times New Roman" w:hAnsi="Sylfaen" w:cs="Sylfaen"/>
          <w:b/>
          <w:color w:val="000000"/>
          <w:lang w:val="en-US" w:eastAsia="ru-RU"/>
        </w:rPr>
        <w:t xml:space="preserve">A </w:t>
      </w:r>
      <w:r>
        <w:rPr>
          <w:rFonts w:ascii="Sylfaen" w:eastAsia="Times New Roman" w:hAnsi="Sylfaen" w:cs="Sylfaen"/>
          <w:b/>
          <w:color w:val="000000"/>
          <w:lang w:val="ka-GE" w:eastAsia="ru-RU"/>
        </w:rPr>
        <w:t>გრიპის ორივე ქვეტიპი. გარდა აღნიშნულისა გამოვლენილია რინო, კორონა და მეტაპნევმოვირუსით გამოვლენილი შემთხვევები.</w:t>
      </w:r>
    </w:p>
    <w:p w:rsidR="00543392" w:rsidRPr="00AA4337" w:rsidRDefault="00543392" w:rsidP="005433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სეზონური გრიპის სახელმწიფოს მიერ შეძენილი ვაქცინით დამატებით აცრილია 802 ორსული და 38 მოქალაქე, ასევე არასახელმწიფო ქსელის მიერ აიცრა 8</w:t>
      </w:r>
      <w:r w:rsidRPr="00AA4337">
        <w:rPr>
          <w:rFonts w:ascii="Sylfaen" w:hAnsi="Sylfaen"/>
          <w:lang w:val="ka-GE"/>
        </w:rPr>
        <w:t xml:space="preserve">0 </w:t>
      </w:r>
      <w:r>
        <w:rPr>
          <w:rFonts w:ascii="Sylfaen" w:hAnsi="Sylfaen"/>
          <w:lang w:val="ka-GE"/>
        </w:rPr>
        <w:t xml:space="preserve">ორსული  და </w:t>
      </w:r>
      <w:r w:rsidRPr="00AA4337">
        <w:rPr>
          <w:rFonts w:ascii="Sylfaen" w:hAnsi="Sylfaen"/>
          <w:lang w:val="ka-GE"/>
        </w:rPr>
        <w:t>2620 სხვა მოქალაქე. ანუ, სულ აცრილია 2700 ადამიანი კერძო სექტორში. 2019 წელს სახელმწიფო და არასახელმწიფო ხაზით სულ აცრილია 8</w:t>
      </w:r>
      <w:r>
        <w:rPr>
          <w:rFonts w:ascii="Sylfaen" w:hAnsi="Sylfaen"/>
          <w:lang w:val="ka-GE"/>
        </w:rPr>
        <w:t>8</w:t>
      </w:r>
      <w:r w:rsidR="00610065">
        <w:rPr>
          <w:rFonts w:ascii="Sylfaen" w:hAnsi="Sylfaen"/>
          <w:lang w:val="ka-GE"/>
        </w:rPr>
        <w:t>2</w:t>
      </w:r>
      <w:r w:rsidRPr="00AA4337">
        <w:rPr>
          <w:rFonts w:ascii="Sylfaen" w:hAnsi="Sylfaen"/>
          <w:lang w:val="ka-GE"/>
        </w:rPr>
        <w:t xml:space="preserve"> ორსული</w:t>
      </w:r>
      <w:r>
        <w:rPr>
          <w:rFonts w:ascii="Sylfaen" w:hAnsi="Sylfaen"/>
          <w:lang w:val="ka-GE"/>
        </w:rPr>
        <w:t xml:space="preserve">. </w:t>
      </w:r>
    </w:p>
    <w:p w:rsidR="00DB611E" w:rsidRDefault="00DB611E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</w:p>
    <w:p w:rsidR="007A218B" w:rsidRPr="001E309E" w:rsidRDefault="007A218B" w:rsidP="000A6DEA">
      <w:pPr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წითელას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, 2019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 </w:t>
      </w:r>
      <w:r w:rsidR="007860AD">
        <w:rPr>
          <w:rFonts w:ascii="Sylfaen" w:eastAsia="Times New Roman" w:hAnsi="Sylfaen"/>
          <w:b/>
          <w:color w:val="000000"/>
          <w:lang w:val="ka-GE" w:eastAsia="ru-RU"/>
        </w:rPr>
        <w:t>18</w:t>
      </w:r>
      <w:r w:rsidR="001E309E">
        <w:rPr>
          <w:rFonts w:ascii="Sylfaen" w:eastAsia="Times New Roman" w:hAnsi="Sylfaen"/>
          <w:b/>
          <w:color w:val="000000"/>
          <w:lang w:val="ka-GE" w:eastAsia="ru-RU"/>
        </w:rPr>
        <w:t xml:space="preserve"> მარტი</w:t>
      </w:r>
    </w:p>
    <w:tbl>
      <w:tblPr>
        <w:tblW w:w="159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245"/>
        <w:gridCol w:w="770"/>
        <w:gridCol w:w="866"/>
        <w:gridCol w:w="1199"/>
        <w:gridCol w:w="1113"/>
        <w:gridCol w:w="937"/>
        <w:gridCol w:w="1240"/>
        <w:gridCol w:w="1151"/>
        <w:gridCol w:w="1370"/>
        <w:gridCol w:w="1201"/>
        <w:gridCol w:w="1077"/>
        <w:gridCol w:w="1077"/>
        <w:gridCol w:w="700"/>
      </w:tblGrid>
      <w:tr w:rsidR="001E309E" w:rsidRPr="00391E17" w:rsidTr="00543392">
        <w:trPr>
          <w:trHeight w:val="764"/>
        </w:trPr>
        <w:tc>
          <w:tcPr>
            <w:tcW w:w="2010" w:type="dxa"/>
            <w:hideMark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  <w:proofErr w:type="spellEnd"/>
          </w:p>
        </w:tc>
        <w:tc>
          <w:tcPr>
            <w:tcW w:w="1245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70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  <w:proofErr w:type="spellEnd"/>
          </w:p>
        </w:tc>
        <w:tc>
          <w:tcPr>
            <w:tcW w:w="866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  <w:proofErr w:type="spellEnd"/>
          </w:p>
        </w:tc>
        <w:tc>
          <w:tcPr>
            <w:tcW w:w="1199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  <w:proofErr w:type="spellEnd"/>
          </w:p>
        </w:tc>
        <w:tc>
          <w:tcPr>
            <w:tcW w:w="1113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  <w:proofErr w:type="spellEnd"/>
          </w:p>
        </w:tc>
        <w:tc>
          <w:tcPr>
            <w:tcW w:w="937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  <w:proofErr w:type="spellEnd"/>
          </w:p>
        </w:tc>
        <w:tc>
          <w:tcPr>
            <w:tcW w:w="1240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  <w:proofErr w:type="spellEnd"/>
          </w:p>
        </w:tc>
        <w:tc>
          <w:tcPr>
            <w:tcW w:w="1151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  <w:proofErr w:type="spellEnd"/>
          </w:p>
        </w:tc>
        <w:tc>
          <w:tcPr>
            <w:tcW w:w="1370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1201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  <w:proofErr w:type="spellEnd"/>
          </w:p>
        </w:tc>
        <w:tc>
          <w:tcPr>
            <w:tcW w:w="1077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</w:t>
            </w:r>
            <w:proofErr w:type="spellEnd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1077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proofErr w:type="spellEnd"/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700" w:type="dxa"/>
          </w:tcPr>
          <w:p w:rsidR="001E309E" w:rsidRPr="00391E17" w:rsidRDefault="001E309E" w:rsidP="005433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  <w:proofErr w:type="spellEnd"/>
          </w:p>
        </w:tc>
      </w:tr>
      <w:tr w:rsidR="00EF268B" w:rsidRPr="00391E17" w:rsidTr="00543392">
        <w:trPr>
          <w:trHeight w:val="881"/>
        </w:trPr>
        <w:tc>
          <w:tcPr>
            <w:tcW w:w="2010" w:type="dxa"/>
            <w:hideMark/>
          </w:tcPr>
          <w:p w:rsidR="00EF268B" w:rsidRDefault="00EF268B" w:rsidP="00EF268B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2019 წ </w:t>
            </w:r>
          </w:p>
          <w:p w:rsidR="00EF268B" w:rsidRPr="00391E17" w:rsidRDefault="00EF268B" w:rsidP="00EF268B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16-18 მარტს</w:t>
            </w:r>
          </w:p>
          <w:p w:rsidR="00EF268B" w:rsidRPr="00391E17" w:rsidRDefault="00EF268B" w:rsidP="00EF268B">
            <w:pPr>
              <w:rPr>
                <w:b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proofErr w:type="spellEnd"/>
            <w:r w:rsidRPr="00391E17">
              <w:rPr>
                <w:b/>
              </w:rPr>
              <w:t xml:space="preserve"> </w:t>
            </w:r>
          </w:p>
        </w:tc>
        <w:tc>
          <w:tcPr>
            <w:tcW w:w="1245" w:type="dxa"/>
          </w:tcPr>
          <w:p w:rsidR="00EF268B" w:rsidRPr="00391E17" w:rsidRDefault="00EF268B" w:rsidP="00EF268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770" w:type="dxa"/>
          </w:tcPr>
          <w:p w:rsidR="00EF268B" w:rsidRPr="00391E17" w:rsidRDefault="00EF268B" w:rsidP="00EF26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66" w:type="dxa"/>
          </w:tcPr>
          <w:p w:rsidR="00EF268B" w:rsidRPr="00391E17" w:rsidRDefault="00EF268B" w:rsidP="00EF26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99" w:type="dxa"/>
          </w:tcPr>
          <w:p w:rsidR="00EF268B" w:rsidRPr="000F0D56" w:rsidRDefault="00EF268B" w:rsidP="00EF26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</w:t>
            </w:r>
          </w:p>
        </w:tc>
        <w:tc>
          <w:tcPr>
            <w:tcW w:w="1113" w:type="dxa"/>
          </w:tcPr>
          <w:p w:rsidR="00EF268B" w:rsidRPr="000F0D56" w:rsidRDefault="00EF268B" w:rsidP="00EF26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37" w:type="dxa"/>
          </w:tcPr>
          <w:p w:rsidR="00EF268B" w:rsidRPr="00391E17" w:rsidRDefault="00EF268B" w:rsidP="00EF26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40" w:type="dxa"/>
          </w:tcPr>
          <w:p w:rsidR="00EF268B" w:rsidRPr="00391E17" w:rsidRDefault="00EF268B" w:rsidP="00EF26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51" w:type="dxa"/>
          </w:tcPr>
          <w:p w:rsidR="00EF268B" w:rsidRPr="00391E17" w:rsidRDefault="00EF268B" w:rsidP="00EF26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370" w:type="dxa"/>
          </w:tcPr>
          <w:p w:rsidR="00EF268B" w:rsidRPr="00391E17" w:rsidRDefault="00EF268B" w:rsidP="00EF268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1201" w:type="dxa"/>
          </w:tcPr>
          <w:p w:rsidR="00EF268B" w:rsidRPr="00391E17" w:rsidRDefault="00EF268B" w:rsidP="00EF26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077" w:type="dxa"/>
          </w:tcPr>
          <w:p w:rsidR="00EF268B" w:rsidRPr="005E0C57" w:rsidRDefault="00EF268B" w:rsidP="00EF26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077" w:type="dxa"/>
          </w:tcPr>
          <w:p w:rsidR="00EF268B" w:rsidRPr="00391E17" w:rsidRDefault="00EF268B" w:rsidP="00EF26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700" w:type="dxa"/>
          </w:tcPr>
          <w:p w:rsidR="00EF268B" w:rsidRPr="00E10BB7" w:rsidRDefault="00EF268B" w:rsidP="00EF268B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72</w:t>
            </w:r>
          </w:p>
        </w:tc>
      </w:tr>
    </w:tbl>
    <w:p w:rsidR="001E309E" w:rsidRDefault="001E309E" w:rsidP="000A6DEA">
      <w:pPr>
        <w:jc w:val="center"/>
        <w:rPr>
          <w:rFonts w:ascii="Sylfaen" w:eastAsia="Times New Roman" w:hAnsi="Sylfaen"/>
          <w:b/>
          <w:color w:val="000000"/>
          <w:lang w:val="ka-GE" w:eastAsia="ru-RU"/>
        </w:rPr>
      </w:pPr>
    </w:p>
    <w:tbl>
      <w:tblPr>
        <w:tblW w:w="137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74"/>
        <w:gridCol w:w="4573"/>
        <w:gridCol w:w="4573"/>
      </w:tblGrid>
      <w:tr w:rsidR="00F10AD7" w:rsidRPr="004D506A" w:rsidTr="007277A8">
        <w:trPr>
          <w:trHeight w:val="714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რეგიონი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ინციდენტობა</w:t>
            </w: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 xml:space="preserve"> 100 000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შემთხვევათა რ-ობა</w:t>
            </w:r>
          </w:p>
        </w:tc>
      </w:tr>
      <w:tr w:rsidR="00F10AD7" w:rsidRPr="004D506A" w:rsidTr="007277A8">
        <w:trPr>
          <w:trHeight w:val="402"/>
        </w:trPr>
        <w:tc>
          <w:tcPr>
            <w:tcW w:w="45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საქართველო სულ</w:t>
            </w:r>
          </w:p>
        </w:tc>
        <w:tc>
          <w:tcPr>
            <w:tcW w:w="45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color w:val="000000"/>
                <w:sz w:val="24"/>
                <w:szCs w:val="24"/>
              </w:rPr>
              <w:t>66,26</w:t>
            </w:r>
          </w:p>
        </w:tc>
        <w:tc>
          <w:tcPr>
            <w:tcW w:w="45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2470</w:t>
            </w:r>
          </w:p>
        </w:tc>
      </w:tr>
      <w:tr w:rsidR="00F10AD7" w:rsidRPr="004D506A" w:rsidTr="007277A8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თბილისი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color w:val="000000"/>
                <w:sz w:val="24"/>
                <w:szCs w:val="24"/>
              </w:rPr>
              <w:t>79,60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917</w:t>
            </w:r>
          </w:p>
        </w:tc>
      </w:tr>
      <w:tr w:rsidR="00F10AD7" w:rsidRPr="004D506A" w:rsidTr="007277A8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აჭარა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F10AD7" w:rsidRPr="004D506A" w:rsidTr="007277A8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გურია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color w:val="000000"/>
                <w:sz w:val="24"/>
                <w:szCs w:val="24"/>
              </w:rPr>
              <w:t>29,73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F10AD7" w:rsidRPr="004D506A" w:rsidTr="007277A8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იმერეთი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color w:val="000000"/>
                <w:sz w:val="24"/>
                <w:szCs w:val="24"/>
              </w:rPr>
              <w:t>87,33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0AD7" w:rsidRPr="00C324E3" w:rsidRDefault="00F10AD7" w:rsidP="007277A8">
            <w:pPr>
              <w:jc w:val="center"/>
              <w:rPr>
                <w:rFonts w:ascii="Sylfaen" w:hAnsi="Sylfaen" w:cs="Calibri"/>
                <w:bCs/>
                <w:color w:val="000000"/>
                <w:sz w:val="24"/>
                <w:szCs w:val="24"/>
              </w:rPr>
            </w:pPr>
            <w:r w:rsidRPr="00C324E3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446</w:t>
            </w:r>
          </w:p>
        </w:tc>
      </w:tr>
      <w:tr w:rsidR="00F10AD7" w:rsidRPr="004D506A" w:rsidTr="007277A8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კახეთი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color w:val="000000"/>
                <w:sz w:val="24"/>
                <w:szCs w:val="24"/>
              </w:rPr>
              <w:t>76,12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240</w:t>
            </w:r>
          </w:p>
        </w:tc>
      </w:tr>
      <w:tr w:rsidR="00F10AD7" w:rsidRPr="004D506A" w:rsidTr="007277A8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მცხეთა-მთიანეთი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color w:val="000000"/>
                <w:sz w:val="24"/>
                <w:szCs w:val="24"/>
              </w:rPr>
              <w:t>53,25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F10AD7" w:rsidRPr="004D506A" w:rsidTr="007277A8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რაჭა-ლეჩხუმი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color w:val="000000"/>
                <w:sz w:val="24"/>
                <w:szCs w:val="24"/>
              </w:rPr>
              <w:t>16,38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10AD7" w:rsidRPr="004D506A" w:rsidTr="007277A8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სამეგრელო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color w:val="000000"/>
                <w:sz w:val="24"/>
                <w:szCs w:val="24"/>
              </w:rPr>
              <w:t>118,76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383</w:t>
            </w:r>
          </w:p>
        </w:tc>
      </w:tr>
      <w:tr w:rsidR="00F10AD7" w:rsidRPr="004D506A" w:rsidTr="007277A8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lastRenderedPageBreak/>
              <w:t>სამცხე-ჯავახეთი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color w:val="000000"/>
                <w:sz w:val="24"/>
                <w:szCs w:val="24"/>
              </w:rPr>
              <w:t>36,41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0AD7" w:rsidRPr="00C324E3" w:rsidRDefault="00F10AD7" w:rsidP="007277A8">
            <w:pPr>
              <w:jc w:val="center"/>
              <w:rPr>
                <w:rFonts w:ascii="Sylfaen" w:hAnsi="Sylfaen" w:cs="Calibri"/>
                <w:bCs/>
                <w:color w:val="000000"/>
                <w:sz w:val="24"/>
                <w:szCs w:val="24"/>
              </w:rPr>
            </w:pPr>
            <w:r w:rsidRPr="00C324E3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57</w:t>
            </w:r>
          </w:p>
        </w:tc>
      </w:tr>
      <w:tr w:rsidR="00F10AD7" w:rsidRPr="004D506A" w:rsidTr="007277A8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ქვემო ქართლი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color w:val="000000"/>
                <w:sz w:val="24"/>
                <w:szCs w:val="24"/>
              </w:rPr>
              <w:t>38,52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166</w:t>
            </w:r>
          </w:p>
        </w:tc>
      </w:tr>
      <w:tr w:rsidR="00F10AD7" w:rsidRPr="004D506A" w:rsidTr="007277A8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4D506A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შიდა ქართლი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color w:val="000000"/>
                <w:sz w:val="24"/>
                <w:szCs w:val="24"/>
              </w:rPr>
              <w:t>37,33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97</w:t>
            </w:r>
          </w:p>
        </w:tc>
      </w:tr>
      <w:tr w:rsidR="00F10AD7" w:rsidRPr="004D506A" w:rsidTr="007277A8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0AD7" w:rsidRPr="0030618B" w:rsidRDefault="00F10AD7" w:rsidP="007277A8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აფხაზეთი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0AD7" w:rsidRPr="00C324E3" w:rsidRDefault="00F10AD7" w:rsidP="007277A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24E3">
              <w:rPr>
                <w:rFonts w:ascii="Calibri" w:hAnsi="Calibri" w:cs="Calibri"/>
                <w:color w:val="000000"/>
                <w:sz w:val="24"/>
                <w:szCs w:val="24"/>
              </w:rPr>
              <w:t>1,47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0AD7" w:rsidRPr="00C324E3" w:rsidRDefault="00F10AD7" w:rsidP="007277A8">
            <w:pPr>
              <w:jc w:val="center"/>
              <w:rPr>
                <w:rFonts w:ascii="Sylfaen" w:hAnsi="Sylfaen" w:cs="Calibri"/>
                <w:bCs/>
                <w:color w:val="000000"/>
                <w:sz w:val="24"/>
                <w:szCs w:val="24"/>
              </w:rPr>
            </w:pPr>
            <w:r w:rsidRPr="00C324E3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F10AD7" w:rsidRDefault="00F10AD7" w:rsidP="000A6DEA">
      <w:pPr>
        <w:jc w:val="center"/>
        <w:rPr>
          <w:rFonts w:ascii="Sylfaen" w:eastAsia="Times New Roman" w:hAnsi="Sylfaen"/>
          <w:b/>
          <w:color w:val="000000"/>
          <w:lang w:val="ka-GE" w:eastAsia="ru-RU"/>
        </w:rPr>
      </w:pPr>
    </w:p>
    <w:p w:rsidR="00F10AD7" w:rsidRPr="00F10AD7" w:rsidRDefault="00F10AD7" w:rsidP="000A6DEA">
      <w:pPr>
        <w:jc w:val="center"/>
        <w:rPr>
          <w:rFonts w:ascii="Sylfaen" w:eastAsia="Times New Roman" w:hAnsi="Sylfaen"/>
          <w:b/>
          <w:color w:val="000000"/>
          <w:lang w:val="ka-GE" w:eastAsia="ru-RU"/>
        </w:rPr>
      </w:pPr>
    </w:p>
    <w:p w:rsidR="007A218B" w:rsidRPr="00033502" w:rsidRDefault="007A218B" w:rsidP="007A218B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proofErr w:type="spellStart"/>
      <w:proofErr w:type="gramStart"/>
      <w:r>
        <w:rPr>
          <w:rFonts w:ascii="Sylfaen" w:eastAsia="Times New Roman" w:hAnsi="Sylfaen"/>
          <w:b/>
          <w:color w:val="000000"/>
          <w:lang w:eastAsia="ru-RU"/>
        </w:rPr>
        <w:t>ასაკობრივი</w:t>
      </w:r>
      <w:proofErr w:type="spellEnd"/>
      <w:proofErr w:type="gram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/>
          <w:b/>
          <w:color w:val="000000"/>
          <w:lang w:eastAsia="ru-RU"/>
        </w:rPr>
        <w:t>განაწილება</w:t>
      </w:r>
      <w:proofErr w:type="spellEnd"/>
      <w:r w:rsidR="00033502">
        <w:rPr>
          <w:rFonts w:ascii="Sylfaen" w:eastAsia="Times New Roman" w:hAnsi="Sylfaen"/>
          <w:b/>
          <w:color w:val="000000"/>
          <w:lang w:val="ka-GE" w:eastAsia="ru-RU"/>
        </w:rPr>
        <w:t xml:space="preserve">  საქართველოში </w:t>
      </w:r>
      <w:proofErr w:type="spellStart"/>
      <w:r w:rsidR="00033502"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 w:rsidR="00033502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="00033502"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 w:rsidR="00033502">
        <w:rPr>
          <w:rFonts w:ascii="Sylfaen" w:eastAsia="Times New Roman" w:hAnsi="Sylfaen"/>
          <w:b/>
          <w:color w:val="000000"/>
          <w:lang w:eastAsia="ru-RU"/>
        </w:rPr>
        <w:t xml:space="preserve">, 2019 </w:t>
      </w:r>
      <w:proofErr w:type="spellStart"/>
      <w:r w:rsidR="00033502"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 w:rsidR="00033502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="00E52D20">
        <w:rPr>
          <w:rFonts w:ascii="Sylfaen" w:eastAsia="Times New Roman" w:hAnsi="Sylfaen"/>
          <w:b/>
          <w:color w:val="000000"/>
          <w:lang w:val="ka-GE" w:eastAsia="ru-RU"/>
        </w:rPr>
        <w:t xml:space="preserve"> 18 </w:t>
      </w:r>
      <w:r w:rsidR="00033502">
        <w:rPr>
          <w:rFonts w:ascii="Sylfaen" w:eastAsia="Times New Roman" w:hAnsi="Sylfaen"/>
          <w:b/>
          <w:color w:val="000000"/>
          <w:lang w:val="ka-GE" w:eastAsia="ru-RU"/>
        </w:rPr>
        <w:t>მარტი</w:t>
      </w:r>
    </w:p>
    <w:p w:rsidR="007A218B" w:rsidRDefault="007A218B" w:rsidP="000A6DEA">
      <w:pPr>
        <w:jc w:val="center"/>
        <w:rPr>
          <w:rFonts w:ascii="Sylfaen" w:hAnsi="Sylfaen"/>
          <w:b/>
          <w:lang w:val="ka-GE"/>
        </w:rPr>
      </w:pPr>
    </w:p>
    <w:tbl>
      <w:tblPr>
        <w:tblW w:w="5546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  <w:gridCol w:w="1134"/>
      </w:tblGrid>
      <w:tr w:rsidR="00F10AD7" w:rsidRPr="00391E17" w:rsidTr="00F10AD7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D7" w:rsidRDefault="00F10AD7" w:rsidP="0032479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:rsidR="00F10AD7" w:rsidRPr="00391E17" w:rsidRDefault="00F10AD7" w:rsidP="0032479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D7" w:rsidRPr="00391E17" w:rsidRDefault="00F10AD7" w:rsidP="0032479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  <w:proofErr w:type="spellEnd"/>
          </w:p>
          <w:p w:rsidR="00F10AD7" w:rsidRPr="004C5229" w:rsidRDefault="00F10AD7" w:rsidP="0032479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ობა</w:t>
            </w:r>
            <w:proofErr w:type="spellEnd"/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 xml:space="preserve"> საქართველოში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AD7" w:rsidRPr="00391E17" w:rsidRDefault="00F10AD7" w:rsidP="0032479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10AD7" w:rsidRPr="00F10AD7" w:rsidRDefault="00F10AD7" w:rsidP="0032479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ინციდენტობა</w:t>
            </w:r>
          </w:p>
        </w:tc>
      </w:tr>
      <w:tr w:rsidR="00F10AD7" w:rsidRPr="00E10BB7" w:rsidTr="00F10AD7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D7" w:rsidRPr="00391E17" w:rsidRDefault="00F10AD7" w:rsidP="00E52D20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391E17" w:rsidRDefault="00F10AD7" w:rsidP="00E52D20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B83E5C" w:rsidRDefault="00F10AD7" w:rsidP="00E52D2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0AD7" w:rsidRPr="00B60963" w:rsidRDefault="00F10AD7" w:rsidP="00170FE4">
            <w:r w:rsidRPr="00B60963">
              <w:t>503,8</w:t>
            </w:r>
          </w:p>
        </w:tc>
      </w:tr>
      <w:tr w:rsidR="00F10AD7" w:rsidRPr="00391E17" w:rsidTr="00F10AD7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D7" w:rsidRPr="00391E17" w:rsidRDefault="00F10AD7" w:rsidP="00E52D20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C31E6B" w:rsidRDefault="00F10AD7" w:rsidP="00E52D20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en-US" w:eastAsia="ru-RU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391E17" w:rsidRDefault="00F10AD7" w:rsidP="00E52D2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0AD7" w:rsidRPr="00B60963" w:rsidRDefault="00F10AD7" w:rsidP="00170FE4">
            <w:r w:rsidRPr="00B60963">
              <w:t>165,8</w:t>
            </w:r>
          </w:p>
        </w:tc>
      </w:tr>
      <w:tr w:rsidR="00F10AD7" w:rsidRPr="00391E17" w:rsidTr="00F10AD7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D7" w:rsidRPr="00391E17" w:rsidRDefault="00F10AD7" w:rsidP="00E52D20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391E17" w:rsidRDefault="00F10AD7" w:rsidP="00E52D20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391E17" w:rsidRDefault="00F10AD7" w:rsidP="00E52D2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0AD7" w:rsidRPr="00B60963" w:rsidRDefault="00F10AD7" w:rsidP="00170FE4">
            <w:r w:rsidRPr="00B60963">
              <w:t>60,6</w:t>
            </w:r>
          </w:p>
        </w:tc>
      </w:tr>
      <w:tr w:rsidR="00F10AD7" w:rsidRPr="00391E17" w:rsidTr="00F10AD7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D7" w:rsidRPr="00391E17" w:rsidRDefault="00F10AD7" w:rsidP="00E52D20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391E17" w:rsidRDefault="00F10AD7" w:rsidP="00E52D20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20257B" w:rsidRDefault="00F10AD7" w:rsidP="00E52D2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en-US" w:eastAsia="ru-RU"/>
              </w:rPr>
              <w:t>7,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0AD7" w:rsidRPr="00B60963" w:rsidRDefault="00F10AD7" w:rsidP="00170FE4">
            <w:r w:rsidRPr="00B60963">
              <w:t>87,3</w:t>
            </w:r>
          </w:p>
        </w:tc>
      </w:tr>
      <w:tr w:rsidR="00F10AD7" w:rsidRPr="00391E17" w:rsidTr="00F10AD7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D7" w:rsidRPr="00391E17" w:rsidRDefault="00F10AD7" w:rsidP="00E52D20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493F3E" w:rsidRDefault="00F10AD7" w:rsidP="00E52D20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27253A" w:rsidRDefault="00F10AD7" w:rsidP="00E52D20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0AD7" w:rsidRPr="00B60963" w:rsidRDefault="00F10AD7" w:rsidP="00170FE4">
            <w:r w:rsidRPr="00B60963">
              <w:t>118,5</w:t>
            </w:r>
          </w:p>
        </w:tc>
      </w:tr>
      <w:tr w:rsidR="00F10AD7" w:rsidRPr="00391E17" w:rsidTr="00F10AD7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D7" w:rsidRPr="00324795" w:rsidRDefault="00F10AD7" w:rsidP="00E52D20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30-</w:t>
            </w: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85788D" w:rsidRDefault="00F10AD7" w:rsidP="00E52D20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493F3E" w:rsidRDefault="00F10AD7" w:rsidP="00E52D20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0AD7" w:rsidRPr="00B60963" w:rsidRDefault="00F10AD7" w:rsidP="00170FE4">
            <w:r w:rsidRPr="00B60963">
              <w:t>110,7</w:t>
            </w:r>
          </w:p>
        </w:tc>
      </w:tr>
      <w:tr w:rsidR="00F10AD7" w:rsidRPr="00391E17" w:rsidTr="00F10AD7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D7" w:rsidRPr="00391E17" w:rsidRDefault="00F10AD7" w:rsidP="00E52D20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6</w:t>
            </w:r>
            <w:r w:rsidRPr="00391E17">
              <w:rPr>
                <w:rFonts w:eastAsia="Times New Roman"/>
                <w:b/>
                <w:color w:val="000000"/>
                <w:lang w:eastAsia="ru-RU"/>
              </w:rPr>
              <w:t>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391E17" w:rsidRDefault="00F10AD7" w:rsidP="00E52D20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391E17" w:rsidRDefault="00F10AD7" w:rsidP="00E52D2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0AD7" w:rsidRPr="00B60963" w:rsidRDefault="00F10AD7" w:rsidP="00170FE4">
            <w:r w:rsidRPr="00B60963">
              <w:t>11,0</w:t>
            </w:r>
          </w:p>
        </w:tc>
      </w:tr>
      <w:tr w:rsidR="00F10AD7" w:rsidRPr="00391E17" w:rsidTr="00F10AD7">
        <w:trPr>
          <w:trHeight w:val="6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D7" w:rsidRPr="002046FB" w:rsidRDefault="00F10AD7" w:rsidP="00E52D20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სულ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391E17" w:rsidRDefault="00F10AD7" w:rsidP="00E52D20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2470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D7" w:rsidRPr="00391E17" w:rsidRDefault="00F10AD7" w:rsidP="00E52D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0AD7" w:rsidRDefault="00F10AD7" w:rsidP="00170FE4">
            <w:r w:rsidRPr="00B60963">
              <w:t>66,2</w:t>
            </w:r>
          </w:p>
        </w:tc>
      </w:tr>
    </w:tbl>
    <w:p w:rsidR="007A218B" w:rsidRDefault="007A218B" w:rsidP="000A6DEA">
      <w:pPr>
        <w:jc w:val="center"/>
        <w:rPr>
          <w:rFonts w:ascii="Sylfaen" w:hAnsi="Sylfaen"/>
          <w:b/>
          <w:lang w:val="ka-GE"/>
        </w:rPr>
      </w:pPr>
    </w:p>
    <w:p w:rsidR="00E27858" w:rsidRDefault="00E00767" w:rsidP="000A6DEA">
      <w:pPr>
        <w:jc w:val="center"/>
        <w:rPr>
          <w:rFonts w:ascii="Sylfaen" w:hAnsi="Sylfaen"/>
          <w:b/>
          <w:lang w:val="ka-GE"/>
        </w:rPr>
      </w:pPr>
      <w:r>
        <w:rPr>
          <w:noProof/>
          <w:lang w:val="en-US"/>
        </w:rPr>
        <w:lastRenderedPageBreak/>
        <w:drawing>
          <wp:inline distT="0" distB="0" distL="0" distR="0" wp14:anchorId="3EC73B97" wp14:editId="4E61DFF0">
            <wp:extent cx="9251950" cy="3997960"/>
            <wp:effectExtent l="0" t="0" r="6350" b="25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7858" w:rsidRDefault="00325D70" w:rsidP="00325D7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მე-11 კალენდარული კვირის მონაცემები არასრულია, თუმცა წითელას შემთხვევების კლების ტენდენცია სტაბილურია.</w:t>
      </w:r>
    </w:p>
    <w:p w:rsidR="00325D70" w:rsidRDefault="00325D70" w:rsidP="00325D70">
      <w:pPr>
        <w:pStyle w:val="xxxx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Sylfaen" w:hAnsi="Sylfaen"/>
          <w:b/>
          <w:bCs/>
          <w:color w:val="212121"/>
          <w:lang w:val="ka-GE"/>
        </w:rPr>
        <w:t xml:space="preserve">არაგეგმიური იმუნიზაციით, წწყ ვაქცინით </w:t>
      </w:r>
      <w:r>
        <w:rPr>
          <w:rFonts w:ascii="Sylfaen" w:hAnsi="Sylfaen"/>
          <w:b/>
          <w:bCs/>
          <w:color w:val="212121"/>
          <w:lang w:val="ka-GE"/>
        </w:rPr>
        <w:t>19 იანვრიდან  15 მარტის</w:t>
      </w:r>
      <w:r>
        <w:rPr>
          <w:rFonts w:ascii="Calibri" w:hAnsi="Calibri" w:cs="Calibri"/>
          <w:b/>
          <w:bCs/>
          <w:color w:val="212121"/>
        </w:rPr>
        <w:t>  </w:t>
      </w:r>
      <w:proofErr w:type="spellStart"/>
      <w:r>
        <w:rPr>
          <w:rFonts w:ascii="Sylfaen" w:hAnsi="Sylfaen"/>
          <w:b/>
          <w:bCs/>
          <w:color w:val="212121"/>
        </w:rPr>
        <w:t>ჩათვლით</w:t>
      </w:r>
      <w:proofErr w:type="spellEnd"/>
      <w:r>
        <w:rPr>
          <w:rFonts w:ascii="Calibri" w:hAnsi="Calibri" w:cs="Calibri"/>
          <w:b/>
          <w:bCs/>
          <w:color w:val="212121"/>
        </w:rPr>
        <w:t> </w:t>
      </w:r>
      <w:proofErr w:type="spellStart"/>
      <w:r>
        <w:rPr>
          <w:rFonts w:ascii="Sylfaen" w:hAnsi="Sylfaen"/>
          <w:b/>
          <w:bCs/>
          <w:color w:val="212121"/>
        </w:rPr>
        <w:t>სულ</w:t>
      </w:r>
      <w:proofErr w:type="spellEnd"/>
      <w:r>
        <w:rPr>
          <w:rFonts w:ascii="Calibri" w:hAnsi="Calibri" w:cs="Calibri"/>
          <w:b/>
          <w:bCs/>
          <w:color w:val="212121"/>
        </w:rPr>
        <w:t> </w:t>
      </w:r>
      <w:proofErr w:type="spellStart"/>
      <w:r>
        <w:rPr>
          <w:rFonts w:ascii="Sylfaen" w:hAnsi="Sylfaen"/>
          <w:b/>
          <w:bCs/>
          <w:color w:val="212121"/>
        </w:rPr>
        <w:t>აცრილია</w:t>
      </w:r>
      <w:proofErr w:type="spellEnd"/>
      <w:r>
        <w:rPr>
          <w:rFonts w:ascii="Calibri" w:hAnsi="Calibri" w:cs="Calibri"/>
          <w:b/>
          <w:bCs/>
          <w:color w:val="212121"/>
        </w:rPr>
        <w:t>  100491 </w:t>
      </w:r>
      <w:proofErr w:type="spellStart"/>
      <w:r>
        <w:rPr>
          <w:rFonts w:ascii="Sylfaen" w:hAnsi="Sylfaen"/>
          <w:b/>
          <w:bCs/>
          <w:color w:val="212121"/>
        </w:rPr>
        <w:t>პირი</w:t>
      </w:r>
      <w:proofErr w:type="spellEnd"/>
      <w:r>
        <w:rPr>
          <w:rFonts w:ascii="Calibri" w:hAnsi="Calibri" w:cs="Calibri"/>
          <w:b/>
          <w:bCs/>
          <w:color w:val="212121"/>
        </w:rPr>
        <w:t>.</w:t>
      </w:r>
    </w:p>
    <w:p w:rsidR="00325D70" w:rsidRDefault="00325D70" w:rsidP="00325D70">
      <w:pPr>
        <w:pStyle w:val="xxxx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325D70" w:rsidRDefault="00325D70" w:rsidP="00325D70">
      <w:pPr>
        <w:pStyle w:val="xxxxxmsonormal"/>
        <w:shd w:val="clear" w:color="auto" w:fill="FFFFFF"/>
        <w:spacing w:before="0" w:beforeAutospacing="0" w:after="0" w:afterAutospacing="0"/>
        <w:rPr>
          <w:rFonts w:ascii="Sylfaen" w:hAnsi="Sylfaen"/>
          <w:b/>
          <w:lang w:val="ka-GE"/>
        </w:rPr>
      </w:pPr>
      <w:proofErr w:type="spellStart"/>
      <w:r>
        <w:rPr>
          <w:rFonts w:ascii="Sylfaen" w:hAnsi="Sylfaen"/>
          <w:color w:val="212121"/>
        </w:rPr>
        <w:t>მათ</w:t>
      </w:r>
      <w:proofErr w:type="spellEnd"/>
      <w:r>
        <w:rPr>
          <w:rFonts w:ascii="Calibri" w:hAnsi="Calibri" w:cs="Calibri"/>
          <w:color w:val="212121"/>
        </w:rPr>
        <w:t> </w:t>
      </w:r>
      <w:proofErr w:type="spellStart"/>
      <w:r>
        <w:rPr>
          <w:rFonts w:ascii="Sylfaen" w:hAnsi="Sylfaen"/>
          <w:color w:val="212121"/>
        </w:rPr>
        <w:t>შორის</w:t>
      </w:r>
      <w:proofErr w:type="spellEnd"/>
      <w:r>
        <w:rPr>
          <w:rFonts w:ascii="Sylfaen" w:hAnsi="Sylfaen" w:cs="Calibri"/>
          <w:color w:val="212121"/>
          <w:lang w:val="ka-GE"/>
        </w:rPr>
        <w:t xml:space="preserve">: </w:t>
      </w:r>
      <w:proofErr w:type="spellStart"/>
      <w:r>
        <w:rPr>
          <w:rFonts w:ascii="Sylfaen" w:hAnsi="Sylfaen"/>
          <w:color w:val="212121"/>
        </w:rPr>
        <w:t>თბილისი</w:t>
      </w:r>
      <w:proofErr w:type="spellEnd"/>
      <w:r>
        <w:rPr>
          <w:rFonts w:ascii="Calibri" w:hAnsi="Calibri" w:cs="Calibri"/>
          <w:color w:val="212121"/>
        </w:rPr>
        <w:t> - </w:t>
      </w:r>
      <w:r>
        <w:rPr>
          <w:rFonts w:ascii="Sylfaen" w:hAnsi="Sylfaen"/>
          <w:color w:val="212121"/>
          <w:lang w:val="ka-GE"/>
        </w:rPr>
        <w:t>39664</w:t>
      </w:r>
      <w:r>
        <w:rPr>
          <w:rFonts w:ascii="Sylfaen" w:hAnsi="Sylfaen"/>
          <w:color w:val="212121"/>
          <w:lang w:val="ka-GE"/>
        </w:rPr>
        <w:t xml:space="preserve">; </w:t>
      </w:r>
      <w:r>
        <w:rPr>
          <w:rFonts w:ascii="Sylfaen" w:hAnsi="Sylfaen"/>
          <w:color w:val="212121"/>
          <w:lang w:val="ka-GE"/>
        </w:rPr>
        <w:t>აჭარა -7428</w:t>
      </w:r>
      <w:r>
        <w:rPr>
          <w:rFonts w:ascii="Sylfaen" w:hAnsi="Sylfaen"/>
          <w:color w:val="212121"/>
          <w:lang w:val="ka-GE"/>
        </w:rPr>
        <w:t xml:space="preserve">; </w:t>
      </w:r>
      <w:r>
        <w:rPr>
          <w:rFonts w:ascii="Sylfaen" w:hAnsi="Sylfaen"/>
          <w:color w:val="212121"/>
          <w:lang w:val="ka-GE"/>
        </w:rPr>
        <w:t>იმერეთი -10969</w:t>
      </w:r>
      <w:r>
        <w:rPr>
          <w:rFonts w:ascii="Sylfaen" w:hAnsi="Sylfaen"/>
          <w:color w:val="212121"/>
          <w:lang w:val="ka-GE"/>
        </w:rPr>
        <w:t xml:space="preserve">; სამეგრელო- 8708; </w:t>
      </w:r>
      <w:r>
        <w:rPr>
          <w:rFonts w:ascii="Sylfaen" w:hAnsi="Sylfaen"/>
          <w:color w:val="212121"/>
          <w:lang w:val="ka-GE"/>
        </w:rPr>
        <w:t>გურია -3211</w:t>
      </w:r>
      <w:r>
        <w:rPr>
          <w:rFonts w:ascii="Sylfaen" w:hAnsi="Sylfaen"/>
          <w:color w:val="212121"/>
          <w:lang w:val="ka-GE"/>
        </w:rPr>
        <w:t xml:space="preserve">; </w:t>
      </w:r>
      <w:r>
        <w:rPr>
          <w:rFonts w:ascii="Sylfaen" w:hAnsi="Sylfaen"/>
          <w:color w:val="212121"/>
          <w:lang w:val="ka-GE"/>
        </w:rPr>
        <w:t>შიდა ქართლი -5083</w:t>
      </w:r>
      <w:r>
        <w:rPr>
          <w:rFonts w:ascii="Sylfaen" w:hAnsi="Sylfaen"/>
          <w:color w:val="212121"/>
          <w:lang w:val="ka-GE"/>
        </w:rPr>
        <w:t xml:space="preserve">; </w:t>
      </w:r>
      <w:r>
        <w:rPr>
          <w:rFonts w:ascii="Sylfaen" w:hAnsi="Sylfaen"/>
          <w:color w:val="212121"/>
          <w:lang w:val="ka-GE"/>
        </w:rPr>
        <w:t>ქვემო ქართლი -6383</w:t>
      </w:r>
      <w:r>
        <w:rPr>
          <w:rFonts w:ascii="Sylfaen" w:hAnsi="Sylfaen"/>
          <w:color w:val="212121"/>
          <w:lang w:val="ka-GE"/>
        </w:rPr>
        <w:t xml:space="preserve">; </w:t>
      </w:r>
      <w:r>
        <w:rPr>
          <w:rFonts w:ascii="Sylfaen" w:hAnsi="Sylfaen"/>
          <w:color w:val="212121"/>
          <w:lang w:val="ka-GE"/>
        </w:rPr>
        <w:t>სამცხე-ჯავახეთი -6741</w:t>
      </w:r>
      <w:r>
        <w:rPr>
          <w:rFonts w:ascii="Sylfaen" w:hAnsi="Sylfaen"/>
          <w:color w:val="212121"/>
          <w:lang w:val="ka-GE"/>
        </w:rPr>
        <w:t xml:space="preserve">; </w:t>
      </w:r>
      <w:r>
        <w:rPr>
          <w:rFonts w:ascii="Sylfaen" w:hAnsi="Sylfaen"/>
          <w:color w:val="212121"/>
          <w:lang w:val="ka-GE"/>
        </w:rPr>
        <w:t>რაჭა</w:t>
      </w:r>
      <w:r>
        <w:rPr>
          <w:rFonts w:ascii="Sylfaen" w:hAnsi="Sylfaen"/>
          <w:color w:val="212121"/>
          <w:lang w:val="ka-GE"/>
        </w:rPr>
        <w:t>-ლეჩხუმი ქვემო სვანეთი</w:t>
      </w:r>
      <w:r>
        <w:rPr>
          <w:rFonts w:ascii="Sylfaen" w:hAnsi="Sylfaen"/>
          <w:color w:val="212121"/>
          <w:lang w:val="ka-GE"/>
        </w:rPr>
        <w:t xml:space="preserve"> -1453</w:t>
      </w:r>
      <w:r>
        <w:rPr>
          <w:rFonts w:ascii="Sylfaen" w:hAnsi="Sylfaen"/>
          <w:color w:val="212121"/>
          <w:lang w:val="ka-GE"/>
        </w:rPr>
        <w:t xml:space="preserve">; </w:t>
      </w:r>
      <w:r>
        <w:rPr>
          <w:rFonts w:ascii="Sylfaen" w:hAnsi="Sylfaen"/>
          <w:color w:val="212121"/>
          <w:lang w:val="ka-GE"/>
        </w:rPr>
        <w:t>მცხეთა მთიანეთი - 2563</w:t>
      </w:r>
      <w:r>
        <w:rPr>
          <w:rFonts w:ascii="Sylfaen" w:hAnsi="Sylfaen"/>
          <w:color w:val="212121"/>
          <w:lang w:val="ka-GE"/>
        </w:rPr>
        <w:t>; კ</w:t>
      </w:r>
      <w:r>
        <w:rPr>
          <w:rFonts w:ascii="Sylfaen" w:hAnsi="Sylfaen"/>
          <w:color w:val="212121"/>
          <w:lang w:val="ka-GE"/>
        </w:rPr>
        <w:t>ახეთი- 8388</w:t>
      </w:r>
      <w:r>
        <w:rPr>
          <w:rFonts w:ascii="Sylfaen" w:hAnsi="Sylfaen"/>
          <w:color w:val="212121"/>
          <w:lang w:val="ka-GE"/>
        </w:rPr>
        <w:t>.</w:t>
      </w:r>
    </w:p>
    <w:p w:rsidR="009D0F80" w:rsidRDefault="009D0F80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Pr="00EC33FC" w:rsidRDefault="00EC33FC" w:rsidP="00EC33FC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14.03-ს აკად. ვახტანგ  ბოჭორიშვილის სახელობის სეფსისისა და ინფექციურ პათოლოგიათა კლინიკიდან შემოვიდა შეტყობინება  მენინგოკოკცემიის საეჭვო შემთხვევის შესახებ : </w:t>
      </w:r>
      <w:r>
        <w:rPr>
          <w:rFonts w:ascii="Sylfaen" w:hAnsi="Sylfaen"/>
          <w:lang w:val="ka-GE"/>
        </w:rPr>
        <w:t>11 წლის ბიჭი, მცხოვრები ქ. თბილისში, 13.03-ს მიმართა სეფსისის ცენტრს. სისხლის ნიმუში პჯრ კვლევისთვის გადმოგზავნილი იყო ლუგარის ლაბორატორიაში, ტესტირების შედეგი უარყოფითია.</w:t>
      </w:r>
      <w:r w:rsidR="008D2F93">
        <w:rPr>
          <w:rFonts w:ascii="Sylfaen" w:hAnsi="Sylfaen"/>
          <w:lang w:val="ka-GE"/>
        </w:rPr>
        <w:t xml:space="preserve"> </w:t>
      </w:r>
      <w:r w:rsidR="00F462F9">
        <w:rPr>
          <w:rFonts w:ascii="Sylfaen" w:hAnsi="Sylfaen"/>
          <w:lang w:val="ka-GE"/>
        </w:rPr>
        <w:t>ბავშვის  მდგომარეობა დამაკმაყოფილებელია.</w:t>
      </w:r>
      <w:r w:rsidR="0069556C">
        <w:rPr>
          <w:rFonts w:ascii="Sylfaen" w:hAnsi="Sylfaen"/>
          <w:lang w:val="ka-GE"/>
        </w:rPr>
        <w:t xml:space="preserve"> ეს წელს მეოთხე შემთხვევაა, 1 ლეტალური.</w:t>
      </w: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sectPr w:rsidR="004D016A" w:rsidSect="006E42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7165"/>
    <w:multiLevelType w:val="multilevel"/>
    <w:tmpl w:val="BD342DA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98"/>
    <w:rsid w:val="00017C94"/>
    <w:rsid w:val="000254B4"/>
    <w:rsid w:val="00033502"/>
    <w:rsid w:val="000350F3"/>
    <w:rsid w:val="00053818"/>
    <w:rsid w:val="0006366C"/>
    <w:rsid w:val="00066C12"/>
    <w:rsid w:val="000675BD"/>
    <w:rsid w:val="00071F88"/>
    <w:rsid w:val="00087FBD"/>
    <w:rsid w:val="000A6DEA"/>
    <w:rsid w:val="000C65E2"/>
    <w:rsid w:val="000C7C5A"/>
    <w:rsid w:val="000D11A8"/>
    <w:rsid w:val="000D12CD"/>
    <w:rsid w:val="000D7306"/>
    <w:rsid w:val="000E1C32"/>
    <w:rsid w:val="000E69EA"/>
    <w:rsid w:val="0012036A"/>
    <w:rsid w:val="00120B3D"/>
    <w:rsid w:val="00133BDF"/>
    <w:rsid w:val="00141E99"/>
    <w:rsid w:val="00150FC2"/>
    <w:rsid w:val="0015749D"/>
    <w:rsid w:val="00164D76"/>
    <w:rsid w:val="001665CC"/>
    <w:rsid w:val="0017795B"/>
    <w:rsid w:val="00195634"/>
    <w:rsid w:val="001A4398"/>
    <w:rsid w:val="001B72CE"/>
    <w:rsid w:val="001C0FD5"/>
    <w:rsid w:val="001D5406"/>
    <w:rsid w:val="001E065F"/>
    <w:rsid w:val="001E1564"/>
    <w:rsid w:val="001E309E"/>
    <w:rsid w:val="0021654A"/>
    <w:rsid w:val="00242408"/>
    <w:rsid w:val="0025279E"/>
    <w:rsid w:val="00263083"/>
    <w:rsid w:val="00266CD2"/>
    <w:rsid w:val="002723AA"/>
    <w:rsid w:val="00290792"/>
    <w:rsid w:val="002B16A2"/>
    <w:rsid w:val="002C2193"/>
    <w:rsid w:val="002D48AB"/>
    <w:rsid w:val="002D68BF"/>
    <w:rsid w:val="002D708B"/>
    <w:rsid w:val="002E10B9"/>
    <w:rsid w:val="002E2EA8"/>
    <w:rsid w:val="0030226F"/>
    <w:rsid w:val="003103CF"/>
    <w:rsid w:val="00315262"/>
    <w:rsid w:val="003207E9"/>
    <w:rsid w:val="00324795"/>
    <w:rsid w:val="00325D70"/>
    <w:rsid w:val="00326F07"/>
    <w:rsid w:val="00330AE7"/>
    <w:rsid w:val="00352FFF"/>
    <w:rsid w:val="0035431D"/>
    <w:rsid w:val="00367862"/>
    <w:rsid w:val="0037172D"/>
    <w:rsid w:val="00372550"/>
    <w:rsid w:val="003D5D3E"/>
    <w:rsid w:val="003E016C"/>
    <w:rsid w:val="003E34BA"/>
    <w:rsid w:val="004023AD"/>
    <w:rsid w:val="0040328C"/>
    <w:rsid w:val="00436A7F"/>
    <w:rsid w:val="00437B77"/>
    <w:rsid w:val="004B0D95"/>
    <w:rsid w:val="004C5229"/>
    <w:rsid w:val="004C52D9"/>
    <w:rsid w:val="004D016A"/>
    <w:rsid w:val="004E6977"/>
    <w:rsid w:val="004F7F58"/>
    <w:rsid w:val="00503E9E"/>
    <w:rsid w:val="00506F6A"/>
    <w:rsid w:val="00510343"/>
    <w:rsid w:val="00514209"/>
    <w:rsid w:val="00516EAD"/>
    <w:rsid w:val="005364CC"/>
    <w:rsid w:val="00541AE7"/>
    <w:rsid w:val="00543392"/>
    <w:rsid w:val="00551DBE"/>
    <w:rsid w:val="00554537"/>
    <w:rsid w:val="00556D59"/>
    <w:rsid w:val="00571396"/>
    <w:rsid w:val="00577481"/>
    <w:rsid w:val="005A3A48"/>
    <w:rsid w:val="005B0E5F"/>
    <w:rsid w:val="005C53DF"/>
    <w:rsid w:val="00603D8F"/>
    <w:rsid w:val="00610065"/>
    <w:rsid w:val="00613BAD"/>
    <w:rsid w:val="006154B8"/>
    <w:rsid w:val="00627182"/>
    <w:rsid w:val="00630EE2"/>
    <w:rsid w:val="00644D1D"/>
    <w:rsid w:val="0065724B"/>
    <w:rsid w:val="00671508"/>
    <w:rsid w:val="00671804"/>
    <w:rsid w:val="00673E7F"/>
    <w:rsid w:val="0069556C"/>
    <w:rsid w:val="006A6800"/>
    <w:rsid w:val="006C41B4"/>
    <w:rsid w:val="006D2AAF"/>
    <w:rsid w:val="006D3812"/>
    <w:rsid w:val="006D5E91"/>
    <w:rsid w:val="006D7368"/>
    <w:rsid w:val="006E42BD"/>
    <w:rsid w:val="006F2D73"/>
    <w:rsid w:val="007072F0"/>
    <w:rsid w:val="00713E28"/>
    <w:rsid w:val="00714808"/>
    <w:rsid w:val="00717063"/>
    <w:rsid w:val="00721930"/>
    <w:rsid w:val="00724C9B"/>
    <w:rsid w:val="00725073"/>
    <w:rsid w:val="007407D8"/>
    <w:rsid w:val="00767AB4"/>
    <w:rsid w:val="007860AD"/>
    <w:rsid w:val="00791404"/>
    <w:rsid w:val="007A218B"/>
    <w:rsid w:val="007D76E6"/>
    <w:rsid w:val="007E51F9"/>
    <w:rsid w:val="00801E94"/>
    <w:rsid w:val="008168DB"/>
    <w:rsid w:val="00850055"/>
    <w:rsid w:val="008532AB"/>
    <w:rsid w:val="00853534"/>
    <w:rsid w:val="008722D7"/>
    <w:rsid w:val="008936F3"/>
    <w:rsid w:val="00894176"/>
    <w:rsid w:val="00895465"/>
    <w:rsid w:val="008B620D"/>
    <w:rsid w:val="008D13FA"/>
    <w:rsid w:val="008D2F93"/>
    <w:rsid w:val="008D3250"/>
    <w:rsid w:val="008E59D7"/>
    <w:rsid w:val="008F23BE"/>
    <w:rsid w:val="00903F13"/>
    <w:rsid w:val="009211C4"/>
    <w:rsid w:val="0092619F"/>
    <w:rsid w:val="00944504"/>
    <w:rsid w:val="009547E9"/>
    <w:rsid w:val="00955490"/>
    <w:rsid w:val="009741A7"/>
    <w:rsid w:val="009B49C6"/>
    <w:rsid w:val="009D0F80"/>
    <w:rsid w:val="009F0104"/>
    <w:rsid w:val="00A11482"/>
    <w:rsid w:val="00A20BCF"/>
    <w:rsid w:val="00A24E8A"/>
    <w:rsid w:val="00A3743C"/>
    <w:rsid w:val="00A626CA"/>
    <w:rsid w:val="00A66999"/>
    <w:rsid w:val="00A7195E"/>
    <w:rsid w:val="00A93497"/>
    <w:rsid w:val="00A965A6"/>
    <w:rsid w:val="00AA4820"/>
    <w:rsid w:val="00AB27A0"/>
    <w:rsid w:val="00AF22AF"/>
    <w:rsid w:val="00AF7E98"/>
    <w:rsid w:val="00B22575"/>
    <w:rsid w:val="00B240C5"/>
    <w:rsid w:val="00B409A9"/>
    <w:rsid w:val="00B76D54"/>
    <w:rsid w:val="00BA0A81"/>
    <w:rsid w:val="00BA1F30"/>
    <w:rsid w:val="00BA5BCD"/>
    <w:rsid w:val="00BB6F05"/>
    <w:rsid w:val="00BF54EF"/>
    <w:rsid w:val="00C031ED"/>
    <w:rsid w:val="00C17C76"/>
    <w:rsid w:val="00C209E2"/>
    <w:rsid w:val="00C223F8"/>
    <w:rsid w:val="00C227A2"/>
    <w:rsid w:val="00C42A31"/>
    <w:rsid w:val="00C51420"/>
    <w:rsid w:val="00C83582"/>
    <w:rsid w:val="00C9336F"/>
    <w:rsid w:val="00CB68E8"/>
    <w:rsid w:val="00CB7169"/>
    <w:rsid w:val="00CB7915"/>
    <w:rsid w:val="00CE698B"/>
    <w:rsid w:val="00CF562E"/>
    <w:rsid w:val="00D03535"/>
    <w:rsid w:val="00D11BD1"/>
    <w:rsid w:val="00D13E17"/>
    <w:rsid w:val="00D1454D"/>
    <w:rsid w:val="00D214EC"/>
    <w:rsid w:val="00D36260"/>
    <w:rsid w:val="00D45404"/>
    <w:rsid w:val="00D53489"/>
    <w:rsid w:val="00D76329"/>
    <w:rsid w:val="00D823DD"/>
    <w:rsid w:val="00DB611E"/>
    <w:rsid w:val="00DD41F7"/>
    <w:rsid w:val="00DF0E09"/>
    <w:rsid w:val="00DF7632"/>
    <w:rsid w:val="00E00767"/>
    <w:rsid w:val="00E06EA8"/>
    <w:rsid w:val="00E1583D"/>
    <w:rsid w:val="00E16712"/>
    <w:rsid w:val="00E2263B"/>
    <w:rsid w:val="00E23832"/>
    <w:rsid w:val="00E255DE"/>
    <w:rsid w:val="00E25BC2"/>
    <w:rsid w:val="00E27858"/>
    <w:rsid w:val="00E52D20"/>
    <w:rsid w:val="00E56EAB"/>
    <w:rsid w:val="00E620F0"/>
    <w:rsid w:val="00E664DB"/>
    <w:rsid w:val="00E70C58"/>
    <w:rsid w:val="00E74274"/>
    <w:rsid w:val="00E92015"/>
    <w:rsid w:val="00E9284D"/>
    <w:rsid w:val="00EB0D71"/>
    <w:rsid w:val="00EB521E"/>
    <w:rsid w:val="00EC0E14"/>
    <w:rsid w:val="00EC1B3C"/>
    <w:rsid w:val="00EC33FC"/>
    <w:rsid w:val="00EC3D0E"/>
    <w:rsid w:val="00EF268B"/>
    <w:rsid w:val="00EF4928"/>
    <w:rsid w:val="00EF5A58"/>
    <w:rsid w:val="00F05845"/>
    <w:rsid w:val="00F10AD7"/>
    <w:rsid w:val="00F10B34"/>
    <w:rsid w:val="00F32AEC"/>
    <w:rsid w:val="00F32FF4"/>
    <w:rsid w:val="00F45419"/>
    <w:rsid w:val="00F462F9"/>
    <w:rsid w:val="00F6352A"/>
    <w:rsid w:val="00F67D35"/>
    <w:rsid w:val="00F73FD4"/>
    <w:rsid w:val="00F81F51"/>
    <w:rsid w:val="00F97B3E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xxmsonormal">
    <w:name w:val="x_x_xxxmsonormal"/>
    <w:basedOn w:val="Normal"/>
    <w:rsid w:val="0032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xxmsonormal">
    <w:name w:val="x_x_xxxmsonormal"/>
    <w:basedOn w:val="Normal"/>
    <w:rsid w:val="0032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 სიმპტომების დაწყების თარიღის მიხედვით, საქართველო, </a:t>
            </a:r>
          </a:p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01.</a:t>
            </a:r>
            <a:r>
              <a:rPr lang="ka-GE" sz="1200" baseline="0"/>
              <a:t>07.2017-17.03.201</a:t>
            </a:r>
            <a:r>
              <a:rPr lang="en-US" sz="1200" baseline="0"/>
              <a:t>9</a:t>
            </a:r>
            <a:endParaRPr lang="en-GB" sz="1200" baseline="0"/>
          </a:p>
        </c:rich>
      </c:tx>
      <c:layout>
        <c:manualLayout>
          <c:xMode val="edge"/>
          <c:yMode val="edge"/>
          <c:x val="0.15796777976534676"/>
          <c:y val="3.969274329908253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Sheet1!$A$2:$A$89</c:f>
              <c:strCache>
                <c:ptCount val="88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51</c:v>
                </c:pt>
                <c:pt idx="76">
                  <c:v>52</c:v>
                </c:pt>
                <c:pt idx="77">
                  <c:v>1. 2019</c:v>
                </c:pt>
                <c:pt idx="78">
                  <c:v>2</c:v>
                </c:pt>
                <c:pt idx="79">
                  <c:v>3</c:v>
                </c:pt>
                <c:pt idx="80">
                  <c:v>4</c:v>
                </c:pt>
                <c:pt idx="81">
                  <c:v>5</c:v>
                </c:pt>
                <c:pt idx="82">
                  <c:v>6</c:v>
                </c:pt>
                <c:pt idx="83">
                  <c:v>7</c:v>
                </c:pt>
                <c:pt idx="84">
                  <c:v>8</c:v>
                </c:pt>
                <c:pt idx="85">
                  <c:v>9</c:v>
                </c:pt>
                <c:pt idx="86">
                  <c:v>10</c:v>
                </c:pt>
                <c:pt idx="87">
                  <c:v>11</c:v>
                </c:pt>
              </c:strCache>
            </c:strRef>
          </c:cat>
          <c:val>
            <c:numRef>
              <c:f>Sheet1!$B$2:$B$89</c:f>
              <c:numCache>
                <c:formatCode>General</c:formatCode>
                <c:ptCount val="88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24</c:v>
                </c:pt>
                <c:pt idx="69">
                  <c:v>36</c:v>
                </c:pt>
                <c:pt idx="70">
                  <c:v>64</c:v>
                </c:pt>
                <c:pt idx="71">
                  <c:v>63</c:v>
                </c:pt>
                <c:pt idx="72">
                  <c:v>106</c:v>
                </c:pt>
                <c:pt idx="73">
                  <c:v>84</c:v>
                </c:pt>
                <c:pt idx="74">
                  <c:v>86</c:v>
                </c:pt>
                <c:pt idx="75">
                  <c:v>139</c:v>
                </c:pt>
                <c:pt idx="76">
                  <c:v>99</c:v>
                </c:pt>
                <c:pt idx="77">
                  <c:v>182</c:v>
                </c:pt>
                <c:pt idx="78">
                  <c:v>196</c:v>
                </c:pt>
                <c:pt idx="79">
                  <c:v>316</c:v>
                </c:pt>
                <c:pt idx="80">
                  <c:v>293</c:v>
                </c:pt>
                <c:pt idx="81">
                  <c:v>340</c:v>
                </c:pt>
                <c:pt idx="82">
                  <c:v>278</c:v>
                </c:pt>
                <c:pt idx="83">
                  <c:v>269</c:v>
                </c:pt>
                <c:pt idx="84">
                  <c:v>196</c:v>
                </c:pt>
                <c:pt idx="85">
                  <c:v>201</c:v>
                </c:pt>
                <c:pt idx="86">
                  <c:v>177</c:v>
                </c:pt>
                <c:pt idx="87">
                  <c:v>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059904"/>
        <c:axId val="26100096"/>
      </c:lineChart>
      <c:catAx>
        <c:axId val="26059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00096"/>
        <c:crosses val="autoZero"/>
        <c:auto val="1"/>
        <c:lblAlgn val="ctr"/>
        <c:lblOffset val="100"/>
        <c:noMultiLvlLbl val="0"/>
      </c:catAx>
      <c:valAx>
        <c:axId val="26100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05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64A0A-7DE8-4B6E-872C-25CECBC0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Chlikadze</dc:creator>
  <cp:lastModifiedBy>ncdc</cp:lastModifiedBy>
  <cp:revision>8</cp:revision>
  <dcterms:created xsi:type="dcterms:W3CDTF">2019-03-18T13:32:00Z</dcterms:created>
  <dcterms:modified xsi:type="dcterms:W3CDTF">2019-03-18T14:04:00Z</dcterms:modified>
</cp:coreProperties>
</file>